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D85EFD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Executive Committee Meeting</w:t>
      </w: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16, 2011 at 8:30 a.m.</w:t>
      </w:r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Executive Committee will hold a meeting on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Wednesday, November 16, 2011 at 8:30 a.m.  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6F2875" w:rsidRDefault="006F2875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September 6 and October 11, 2011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Policy Revisions, new Policies and Procedures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PY10 Audit Update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 xml:space="preserve">Move to Closed Session as per State Statute 19.85(1)(c) for Personnel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 xml:space="preserve">Return to Open Session as per State Statute 19.85(1)(c) for Personnel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Actions Discussed in Closed Session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Health Insurance Renewal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WIA Plan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LEO Consortium Agreement and LEO-WDB Joint Agreement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First Quarter Budget Expenditures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DWD and DOL Updates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One-Stop Center Locations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Options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FVWDB Agenda 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E4521B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  <w:r w:rsidRPr="000616A4">
        <w:rPr>
          <w:rFonts w:ascii="Times New Roman" w:hAnsi="Times New Roman" w:cs="Times New Roman"/>
          <w:b w:val="0"/>
          <w:sz w:val="24"/>
        </w:rPr>
        <w:t>During the closed session portion of the meeting, the public will be asked to leave the room.</w:t>
      </w:r>
      <w:r>
        <w:t xml:space="preserve">  </w:t>
      </w:r>
    </w:p>
    <w:sectPr w:rsidR="00E4521B" w:rsidSect="002E142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8C" w:rsidRDefault="00F4628C" w:rsidP="000616A4">
      <w:r>
        <w:separator/>
      </w:r>
    </w:p>
  </w:endnote>
  <w:endnote w:type="continuationSeparator" w:id="0">
    <w:p w:rsidR="00F4628C" w:rsidRDefault="00F4628C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F4628C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8C" w:rsidRDefault="00F4628C" w:rsidP="000616A4">
      <w:r>
        <w:separator/>
      </w:r>
    </w:p>
  </w:footnote>
  <w:footnote w:type="continuationSeparator" w:id="0">
    <w:p w:rsidR="00F4628C" w:rsidRDefault="00F4628C" w:rsidP="0006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616A4"/>
    <w:rsid w:val="000E6A03"/>
    <w:rsid w:val="002844C4"/>
    <w:rsid w:val="002E1426"/>
    <w:rsid w:val="0065541B"/>
    <w:rsid w:val="006F2875"/>
    <w:rsid w:val="00852614"/>
    <w:rsid w:val="0087416C"/>
    <w:rsid w:val="00B97098"/>
    <w:rsid w:val="00D85EFD"/>
    <w:rsid w:val="00F4628C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3</cp:revision>
  <cp:lastPrinted>2011-11-08T14:54:00Z</cp:lastPrinted>
  <dcterms:created xsi:type="dcterms:W3CDTF">2011-11-08T14:43:00Z</dcterms:created>
  <dcterms:modified xsi:type="dcterms:W3CDTF">2011-11-08T15:36:00Z</dcterms:modified>
</cp:coreProperties>
</file>